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C4F0" w14:textId="77777777" w:rsidR="0004673F" w:rsidRPr="007B7B35" w:rsidRDefault="0004673F" w:rsidP="0004673F">
      <w:pPr>
        <w:pStyle w:val="Bezmezer"/>
        <w:jc w:val="right"/>
        <w:rPr>
          <w:rFonts w:ascii="Arial" w:hAnsi="Arial" w:cs="Arial"/>
          <w:bCs/>
          <w:i/>
          <w:iCs/>
        </w:rPr>
      </w:pPr>
      <w:r w:rsidRPr="007B7B35">
        <w:rPr>
          <w:rFonts w:ascii="Arial" w:hAnsi="Arial" w:cs="Arial"/>
          <w:bCs/>
          <w:i/>
          <w:iCs/>
        </w:rPr>
        <w:t>Příloha č. 2 ZD; Příloha A smlouvy</w:t>
      </w:r>
    </w:p>
    <w:p w14:paraId="63391E85" w14:textId="77777777" w:rsidR="0004673F" w:rsidRPr="007B7B35" w:rsidRDefault="0004673F">
      <w:pPr>
        <w:rPr>
          <w:rFonts w:ascii="Arial" w:hAnsi="Arial" w:cs="Arial"/>
        </w:rPr>
      </w:pPr>
    </w:p>
    <w:p w14:paraId="7BA886A2" w14:textId="77777777" w:rsidR="00423682" w:rsidRPr="007B7B35" w:rsidRDefault="00423682" w:rsidP="00423682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7B7B35">
        <w:rPr>
          <w:rFonts w:ascii="Arial" w:hAnsi="Arial" w:cs="Arial"/>
          <w:b/>
          <w:sz w:val="32"/>
          <w:szCs w:val="32"/>
        </w:rPr>
        <w:t>TECHNICKÁ SPECIFIKACE PŘEDMĚTU PLNĚNÍ</w:t>
      </w:r>
    </w:p>
    <w:p w14:paraId="6BF0D921" w14:textId="77777777" w:rsidR="00423682" w:rsidRPr="007B7B35" w:rsidRDefault="00423682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6288"/>
      </w:tblGrid>
      <w:tr w:rsidR="007B7B35" w14:paraId="62D8F8F5" w14:textId="77777777" w:rsidTr="00C51F95">
        <w:tc>
          <w:tcPr>
            <w:tcW w:w="3114" w:type="dxa"/>
          </w:tcPr>
          <w:p w14:paraId="795C478C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6288" w:type="dxa"/>
          </w:tcPr>
          <w:p w14:paraId="6431BAD2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Style w:val="preformatted"/>
                <w:rFonts w:ascii="Arial" w:hAnsi="Arial" w:cs="Arial"/>
                <w:b/>
                <w:bCs/>
              </w:rPr>
              <w:t>Karlovarská krajská nemocnice a.s.</w:t>
            </w:r>
          </w:p>
        </w:tc>
      </w:tr>
      <w:tr w:rsidR="007B7B35" w14:paraId="5EB5909D" w14:textId="77777777" w:rsidTr="00C51F95">
        <w:tc>
          <w:tcPr>
            <w:tcW w:w="3114" w:type="dxa"/>
          </w:tcPr>
          <w:p w14:paraId="38D3B3B5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6288" w:type="dxa"/>
          </w:tcPr>
          <w:p w14:paraId="2CA20564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</w:rPr>
              <w:t>Bezručova 1190/19, 360 01 Karlovy Vary</w:t>
            </w:r>
          </w:p>
        </w:tc>
      </w:tr>
      <w:tr w:rsidR="007B7B35" w14:paraId="0609CA69" w14:textId="77777777" w:rsidTr="00C51F95">
        <w:tc>
          <w:tcPr>
            <w:tcW w:w="3114" w:type="dxa"/>
          </w:tcPr>
          <w:p w14:paraId="7679B538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6288" w:type="dxa"/>
          </w:tcPr>
          <w:p w14:paraId="75D9A18C" w14:textId="050ED059" w:rsidR="007B7B35" w:rsidRDefault="007B7B35" w:rsidP="00C51F95">
            <w:pPr>
              <w:pStyle w:val="Bezmezer"/>
              <w:jc w:val="both"/>
              <w:rPr>
                <w:rFonts w:ascii="Arial" w:hAnsi="Arial" w:cs="Arial"/>
              </w:rPr>
            </w:pPr>
            <w:r w:rsidRPr="005640B5">
              <w:rPr>
                <w:rFonts w:ascii="Arial" w:hAnsi="Arial" w:cs="Arial"/>
              </w:rPr>
              <w:t xml:space="preserve">Mgr. Nelou Kvačkovou, </w:t>
            </w:r>
            <w:r w:rsidR="00143D6C">
              <w:rPr>
                <w:rFonts w:ascii="Arial" w:hAnsi="Arial" w:cs="Arial"/>
              </w:rPr>
              <w:t>předsedkyní</w:t>
            </w:r>
            <w:r w:rsidRPr="005640B5">
              <w:rPr>
                <w:rFonts w:ascii="Arial" w:hAnsi="Arial" w:cs="Arial"/>
              </w:rPr>
              <w:t xml:space="preserve"> představens</w:t>
            </w:r>
            <w:r w:rsidR="00143D6C">
              <w:rPr>
                <w:rFonts w:ascii="Arial" w:hAnsi="Arial" w:cs="Arial"/>
              </w:rPr>
              <w:t>tva</w:t>
            </w:r>
          </w:p>
          <w:p w14:paraId="362A0B8C" w14:textId="3D8727CE" w:rsidR="00143D6C" w:rsidRPr="00143D6C" w:rsidRDefault="00143D6C" w:rsidP="00C51F95">
            <w:pPr>
              <w:pStyle w:val="Bezmezer"/>
              <w:jc w:val="both"/>
              <w:rPr>
                <w:rFonts w:ascii="Arial" w:hAnsi="Arial" w:cs="Arial"/>
                <w:bCs/>
                <w:sz w:val="32"/>
                <w:szCs w:val="32"/>
              </w:rPr>
            </w:pPr>
            <w:r w:rsidRPr="00143D6C">
              <w:rPr>
                <w:rFonts w:ascii="Arial" w:hAnsi="Arial" w:cs="Arial"/>
                <w:bCs/>
              </w:rPr>
              <w:t>Ing. Jiřím Tvrdíkem, MBA, členem představenstva</w:t>
            </w:r>
          </w:p>
        </w:tc>
      </w:tr>
      <w:tr w:rsidR="007B7B35" w14:paraId="69545CF3" w14:textId="77777777" w:rsidTr="00C51F95">
        <w:tc>
          <w:tcPr>
            <w:tcW w:w="3114" w:type="dxa"/>
          </w:tcPr>
          <w:p w14:paraId="40A6DBBC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>IČ / DIČ:</w:t>
            </w:r>
          </w:p>
        </w:tc>
        <w:tc>
          <w:tcPr>
            <w:tcW w:w="6288" w:type="dxa"/>
          </w:tcPr>
          <w:p w14:paraId="5C48A0F9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Style w:val="nowrap"/>
                <w:rFonts w:ascii="Arial" w:hAnsi="Arial" w:cs="Arial"/>
              </w:rPr>
              <w:t>26365804 / CZ26365804</w:t>
            </w:r>
          </w:p>
        </w:tc>
      </w:tr>
      <w:tr w:rsidR="007B7B35" w14:paraId="40BC1193" w14:textId="77777777" w:rsidTr="00C51F95">
        <w:tc>
          <w:tcPr>
            <w:tcW w:w="3114" w:type="dxa"/>
          </w:tcPr>
          <w:p w14:paraId="647ED714" w14:textId="77777777" w:rsidR="007B7B35" w:rsidRDefault="007B7B35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 w:rsidRPr="005640B5">
              <w:rPr>
                <w:rFonts w:ascii="Arial" w:hAnsi="Arial" w:cs="Arial"/>
                <w:b/>
              </w:rPr>
              <w:t xml:space="preserve">Interní ev. </w:t>
            </w:r>
            <w:r>
              <w:rPr>
                <w:rFonts w:ascii="Arial" w:hAnsi="Arial" w:cs="Arial"/>
                <w:b/>
              </w:rPr>
              <w:t>č</w:t>
            </w:r>
            <w:r w:rsidRPr="005640B5">
              <w:rPr>
                <w:rFonts w:ascii="Arial" w:hAnsi="Arial" w:cs="Arial"/>
                <w:b/>
              </w:rPr>
              <w:t>íslo</w:t>
            </w:r>
            <w:r>
              <w:rPr>
                <w:rFonts w:ascii="Arial" w:hAnsi="Arial" w:cs="Arial"/>
                <w:b/>
              </w:rPr>
              <w:t xml:space="preserve"> zakázky</w:t>
            </w:r>
            <w:r w:rsidRPr="005640B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288" w:type="dxa"/>
          </w:tcPr>
          <w:p w14:paraId="710DFD51" w14:textId="03CA886D" w:rsidR="007B7B35" w:rsidRDefault="00CD4A1F" w:rsidP="00C51F95">
            <w:pPr>
              <w:pStyle w:val="Bezmezer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Cs/>
              </w:rPr>
              <w:t>VZ 11/2025</w:t>
            </w:r>
          </w:p>
        </w:tc>
      </w:tr>
    </w:tbl>
    <w:p w14:paraId="13456272" w14:textId="77777777" w:rsidR="007B7B35" w:rsidRDefault="007B7B35" w:rsidP="006957DE">
      <w:pPr>
        <w:jc w:val="both"/>
        <w:rPr>
          <w:rFonts w:ascii="Arial" w:hAnsi="Arial" w:cs="Arial"/>
          <w:sz w:val="22"/>
          <w:szCs w:val="22"/>
        </w:rPr>
      </w:pPr>
    </w:p>
    <w:p w14:paraId="42BFB4C7" w14:textId="17E836D6" w:rsidR="006957DE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Účastník výše uvedeného výběrového řízení do níže uvedené tabulky uvede, zda jeho nabízený přístroj splňuje daný parametr („ANO“ či „NE“). V případě, že lze daný parametr charakterizovat konkrétní hodnotou</w:t>
      </w:r>
      <w:r w:rsidRPr="007B7B35">
        <w:rPr>
          <w:rFonts w:ascii="Arial" w:hAnsi="Arial" w:cs="Arial"/>
          <w:b/>
          <w:bCs/>
          <w:sz w:val="22"/>
          <w:szCs w:val="22"/>
        </w:rPr>
        <w:t xml:space="preserve">, je účastník povinen </w:t>
      </w:r>
      <w:r w:rsidRPr="007B7B35">
        <w:rPr>
          <w:rFonts w:ascii="Arial" w:hAnsi="Arial" w:cs="Arial"/>
          <w:sz w:val="22"/>
          <w:szCs w:val="22"/>
        </w:rPr>
        <w:t xml:space="preserve">tuto hodnotu doplnit. Veškeré parametry uvedené v technické specifikaci jsou stanoveny jako </w:t>
      </w:r>
      <w:r w:rsidRPr="007B7B35">
        <w:rPr>
          <w:rFonts w:ascii="Arial" w:hAnsi="Arial" w:cs="Arial"/>
          <w:b/>
          <w:sz w:val="22"/>
          <w:szCs w:val="22"/>
        </w:rPr>
        <w:t>minimální přípustné</w:t>
      </w:r>
      <w:r w:rsidRPr="007B7B35">
        <w:rPr>
          <w:rFonts w:ascii="Arial" w:hAnsi="Arial" w:cs="Arial"/>
          <w:sz w:val="22"/>
          <w:szCs w:val="22"/>
        </w:rPr>
        <w:t>. Pro účely hodnocení a posouzení nabídky musí účastník splnit veškeré zadavatelem požadované technické parametry.</w:t>
      </w:r>
    </w:p>
    <w:p w14:paraId="4F870E8F" w14:textId="77777777" w:rsidR="006957DE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</w:p>
    <w:p w14:paraId="3088734E" w14:textId="77777777" w:rsidR="005A7486" w:rsidRPr="007B7B35" w:rsidRDefault="006957DE" w:rsidP="006957DE">
      <w:pPr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 xml:space="preserve">Účastník uvede: </w:t>
      </w:r>
    </w:p>
    <w:p w14:paraId="1AE614E2" w14:textId="1CF30B2E" w:rsidR="00AD0EED" w:rsidRPr="007B7B35" w:rsidRDefault="00AD0EED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svůj obchodní název</w:t>
      </w:r>
      <w:r w:rsidR="00451566" w:rsidRPr="007B7B35">
        <w:rPr>
          <w:rFonts w:ascii="Arial" w:hAnsi="Arial" w:cs="Arial"/>
          <w:sz w:val="22"/>
          <w:szCs w:val="22"/>
        </w:rPr>
        <w:t>;</w:t>
      </w:r>
    </w:p>
    <w:p w14:paraId="0B465CBE" w14:textId="3AF9C422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značku a typ přístroje;</w:t>
      </w:r>
    </w:p>
    <w:p w14:paraId="2560A1DE" w14:textId="6EE74345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zda nabízený přístroj splňuje požadovaný parametr uvedením ANO/NE (sloupec B);</w:t>
      </w:r>
    </w:p>
    <w:p w14:paraId="072E8803" w14:textId="1BFCAED2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>konkrétní nabízený parametr u položek s rozměrovou tolerancí (sloupec C);</w:t>
      </w:r>
    </w:p>
    <w:p w14:paraId="1F247DB6" w14:textId="0E1B13C0" w:rsidR="006957DE" w:rsidRPr="007B7B35" w:rsidRDefault="006957DE" w:rsidP="00F01140">
      <w:pPr>
        <w:pStyle w:val="Odstavecseseznamem"/>
        <w:numPr>
          <w:ilvl w:val="0"/>
          <w:numId w:val="2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B7B35">
        <w:rPr>
          <w:rFonts w:ascii="Arial" w:hAnsi="Arial" w:cs="Arial"/>
          <w:sz w:val="22"/>
          <w:szCs w:val="22"/>
        </w:rPr>
        <w:t xml:space="preserve">pro ověření požadovaného technického parametru </w:t>
      </w:r>
      <w:r w:rsidR="00F01140" w:rsidRPr="007B7B35">
        <w:rPr>
          <w:rFonts w:ascii="Arial" w:hAnsi="Arial" w:cs="Arial"/>
          <w:sz w:val="22"/>
          <w:szCs w:val="22"/>
        </w:rPr>
        <w:t xml:space="preserve">odkaz na konkrétní stranu </w:t>
      </w:r>
      <w:r w:rsidRPr="007B7B35">
        <w:rPr>
          <w:rFonts w:ascii="Arial" w:hAnsi="Arial" w:cs="Arial"/>
          <w:sz w:val="22"/>
          <w:szCs w:val="22"/>
        </w:rPr>
        <w:t>v přiloženém technickém listu či návodu apod. (sloupec C)</w:t>
      </w:r>
      <w:r w:rsidR="005A7486" w:rsidRPr="007B7B35">
        <w:rPr>
          <w:rFonts w:ascii="Arial" w:hAnsi="Arial" w:cs="Arial"/>
          <w:sz w:val="22"/>
          <w:szCs w:val="22"/>
        </w:rPr>
        <w:t>.</w:t>
      </w:r>
    </w:p>
    <w:p w14:paraId="50E7746A" w14:textId="77777777" w:rsidR="006957DE" w:rsidRPr="007B7B35" w:rsidRDefault="006957DE" w:rsidP="00045A38">
      <w:pPr>
        <w:pStyle w:val="Styl11"/>
        <w:numPr>
          <w:ilvl w:val="0"/>
          <w:numId w:val="0"/>
        </w:numPr>
        <w:spacing w:before="0" w:after="0"/>
        <w:ind w:right="-86"/>
        <w:rPr>
          <w:rFonts w:ascii="Arial" w:hAnsi="Arial" w:cs="Arial"/>
          <w:color w:val="000000"/>
          <w:sz w:val="22"/>
          <w:shd w:val="clear" w:color="auto" w:fill="FFFFFF"/>
        </w:rPr>
      </w:pPr>
    </w:p>
    <w:tbl>
      <w:tblPr>
        <w:tblStyle w:val="Mkatabulky"/>
        <w:tblW w:w="10490" w:type="dxa"/>
        <w:jc w:val="center"/>
        <w:tblLook w:val="04A0" w:firstRow="1" w:lastRow="0" w:firstColumn="1" w:lastColumn="0" w:noHBand="0" w:noVBand="1"/>
      </w:tblPr>
      <w:tblGrid>
        <w:gridCol w:w="572"/>
        <w:gridCol w:w="1430"/>
        <w:gridCol w:w="2648"/>
        <w:gridCol w:w="2248"/>
        <w:gridCol w:w="1128"/>
        <w:gridCol w:w="2464"/>
      </w:tblGrid>
      <w:tr w:rsidR="003C788D" w:rsidRPr="007B7B35" w14:paraId="563B8930" w14:textId="77777777" w:rsidTr="00C74E4C">
        <w:trPr>
          <w:trHeight w:val="454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vAlign w:val="center"/>
          </w:tcPr>
          <w:p w14:paraId="623995FA" w14:textId="33B7FB0B" w:rsidR="003C788D" w:rsidRPr="007B7B35" w:rsidRDefault="00BD0BE2" w:rsidP="007D26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ACIDOBAZICKÝ ANALYZÁTOR</w:t>
            </w:r>
          </w:p>
        </w:tc>
      </w:tr>
      <w:tr w:rsidR="00E56EC2" w:rsidRPr="007B7B35" w14:paraId="49DF713C" w14:textId="2B1AEE04" w:rsidTr="005B3924">
        <w:trPr>
          <w:trHeight w:val="454"/>
          <w:jc w:val="center"/>
        </w:trPr>
        <w:tc>
          <w:tcPr>
            <w:tcW w:w="200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50AC975" w14:textId="28863BC9" w:rsidR="00E56EC2" w:rsidRPr="007B7B35" w:rsidRDefault="00E56EC2" w:rsidP="007D26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B35">
              <w:rPr>
                <w:rFonts w:ascii="Arial" w:hAnsi="Arial" w:cs="Arial"/>
                <w:b/>
                <w:bCs/>
                <w:sz w:val="22"/>
                <w:szCs w:val="22"/>
              </w:rPr>
              <w:t>Název dodavatele:</w:t>
            </w:r>
          </w:p>
        </w:tc>
        <w:tc>
          <w:tcPr>
            <w:tcW w:w="26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D09B57B" w14:textId="77777777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3F85B4C7" w14:textId="4E268546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B35">
              <w:rPr>
                <w:rFonts w:ascii="Arial" w:hAnsi="Arial" w:cs="Arial"/>
                <w:b/>
                <w:bCs/>
                <w:sz w:val="22"/>
                <w:szCs w:val="22"/>
              </w:rPr>
              <w:t>Značka a typ přístroje: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329EB77" w14:textId="77777777" w:rsidR="00E56EC2" w:rsidRPr="007B7B35" w:rsidRDefault="00E56EC2" w:rsidP="00B54F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C788D" w:rsidRPr="007B7B35" w14:paraId="3B9DC120" w14:textId="77777777" w:rsidTr="005B3924">
        <w:trPr>
          <w:trHeight w:val="227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1C07DB92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47F4288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285B15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3B2241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3C788D" w:rsidRPr="007B7B35" w14:paraId="33171ABE" w14:textId="77777777" w:rsidTr="005B3924">
        <w:trPr>
          <w:trHeight w:val="227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vAlign w:val="center"/>
          </w:tcPr>
          <w:p w14:paraId="2E06B43B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523CF979" w14:textId="77777777" w:rsidR="003C788D" w:rsidRPr="007B7B35" w:rsidRDefault="003C788D" w:rsidP="007D2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Požadované technické parametry a vlastnosti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otted" w:sz="4" w:space="0" w:color="00000A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083B8016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Splňuje (ANO/NE)</w:t>
            </w: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otted" w:sz="4" w:space="0" w:color="00000A"/>
              <w:right w:val="dashSmallGap" w:sz="4" w:space="0" w:color="auto"/>
            </w:tcBorders>
            <w:shd w:val="clear" w:color="auto" w:fill="B6DDE8" w:themeFill="accent5" w:themeFillTint="66"/>
            <w:tcMar>
              <w:left w:w="108" w:type="dxa"/>
            </w:tcMar>
            <w:vAlign w:val="center"/>
          </w:tcPr>
          <w:p w14:paraId="6DAD7965" w14:textId="77777777" w:rsidR="003C788D" w:rsidRPr="007B7B35" w:rsidRDefault="003C788D" w:rsidP="007D2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B35">
              <w:rPr>
                <w:rFonts w:ascii="Arial" w:hAnsi="Arial" w:cs="Arial"/>
                <w:b/>
                <w:bCs/>
                <w:sz w:val="20"/>
                <w:szCs w:val="20"/>
              </w:rPr>
              <w:t>Nabízená hodnota/odkaz pro ověření požadovaného parametru</w:t>
            </w:r>
          </w:p>
        </w:tc>
      </w:tr>
      <w:tr w:rsidR="003C788D" w:rsidRPr="007B7B35" w14:paraId="2AEBF864" w14:textId="77777777" w:rsidTr="00C74E4C">
        <w:trPr>
          <w:trHeight w:val="283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</w:tcPr>
          <w:p w14:paraId="1869B907" w14:textId="38E93BB7" w:rsidR="003C788D" w:rsidRPr="007B7B35" w:rsidRDefault="003C788D" w:rsidP="007D26FD">
            <w:pPr>
              <w:pStyle w:val="Zkladntext"/>
              <w:tabs>
                <w:tab w:val="left" w:pos="708"/>
              </w:tabs>
              <w:rPr>
                <w:rFonts w:ascii="Arial" w:eastAsia="Calibri" w:hAnsi="Arial" w:cs="Arial"/>
                <w:b/>
                <w:sz w:val="20"/>
                <w:lang w:eastAsia="zh-CN"/>
              </w:rPr>
            </w:pPr>
            <w:r w:rsidRPr="007B7B35">
              <w:rPr>
                <w:rFonts w:ascii="Arial" w:hAnsi="Arial" w:cs="Arial"/>
                <w:b/>
                <w:sz w:val="20"/>
              </w:rPr>
              <w:t xml:space="preserve">ZÁKLADNÍ </w:t>
            </w:r>
            <w:r w:rsidR="00B54FFF" w:rsidRPr="007B7B35">
              <w:rPr>
                <w:rFonts w:ascii="Arial" w:hAnsi="Arial" w:cs="Arial"/>
                <w:b/>
                <w:sz w:val="20"/>
              </w:rPr>
              <w:t>VLASTNOSTI</w:t>
            </w:r>
          </w:p>
        </w:tc>
      </w:tr>
      <w:tr w:rsidR="00C74E4C" w:rsidRPr="007B7B35" w14:paraId="23D84821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4D560A5" w14:textId="77777777" w:rsidR="00C74E4C" w:rsidRPr="005B3924" w:rsidRDefault="00C74E4C" w:rsidP="00C74E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392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02781AE0" w14:textId="77777777" w:rsidR="005B3924" w:rsidRPr="005B3924" w:rsidRDefault="005B3924" w:rsidP="005B3924">
            <w:pPr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Měřené parametry:</w:t>
            </w:r>
          </w:p>
          <w:p w14:paraId="08E93C30" w14:textId="54ABB1E8" w:rsidR="00C74E4C" w:rsidRPr="005B3924" w:rsidRDefault="005B3924" w:rsidP="005B3924">
            <w:pPr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pH, pCO2, pO2, celkový hemoglobin ctHb, FO2Hb, FCOHb, FMetHb, FHHb, FHbF, saturace hemoglobinu kyslíkem sO2, cNa+, cK+, cCl-, cCa2+, glukóza, laktát, celkový bilirubin s certifikací pro neonatologické pacienty.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6B6B149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59BC3208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26398A20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B53F10E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1E53827A" w14:textId="74FE7109" w:rsidR="00C74E4C" w:rsidRPr="005B3924" w:rsidRDefault="005B39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Počítané parametry: koncentrace bikarbonátů (HCO3-), base excess v krvi (BE), hematokrit (Hct), pH, pCO2 a pO2 korigované na teplotu pacienta, parciální tlak kyslíku při poloviční saturaci hemoglobinu (p50), celková koncentrace CO2 (tCO2), celková koncentrace O2 (tO2).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4C13460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303073E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51BDF23C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874B4BD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0046693E" w14:textId="4B72B6F9" w:rsidR="00C74E4C" w:rsidRPr="005B3924" w:rsidRDefault="005B39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Analýza plné krve ze stříkačky i z kapiláry.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84013F1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D49C2AB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2BF048AE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F02D903" w14:textId="77777777" w:rsidR="00C74E4C" w:rsidRPr="005B3924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2B4C338A" w14:textId="1E533C38" w:rsidR="00C74E4C" w:rsidRPr="005B3924" w:rsidRDefault="005B3924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Stolní analyzátor bez senzorových kazet.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561FAE5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AE2DACA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76B13770" w14:textId="77777777" w:rsidTr="005B3924">
        <w:trPr>
          <w:trHeight w:val="283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</w:tcPr>
          <w:p w14:paraId="5834A52B" w14:textId="14753DCE" w:rsidR="005B3924" w:rsidRPr="005B3924" w:rsidRDefault="005B3924" w:rsidP="005B3924">
            <w:pPr>
              <w:pStyle w:val="Zkladntext"/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TECHNICKÉ POŽADAVKY PRO ANALYZÁTOR</w:t>
            </w:r>
          </w:p>
        </w:tc>
      </w:tr>
      <w:tr w:rsidR="00C74E4C" w:rsidRPr="007B7B35" w14:paraId="069A2377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7A8B535" w14:textId="14A48CDD" w:rsidR="00C74E4C" w:rsidRPr="005B3924" w:rsidRDefault="00BD4382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74E4C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6E3C6CEC" w14:textId="06A0D44E" w:rsidR="00C74E4C" w:rsidRPr="005B3924" w:rsidRDefault="005B3924" w:rsidP="00C74E4C">
            <w:pPr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B3924">
              <w:rPr>
                <w:rStyle w:val="normaltextrun"/>
                <w:rFonts w:ascii="Arial" w:hAnsi="Arial" w:cs="Arial"/>
                <w:sz w:val="20"/>
                <w:szCs w:val="20"/>
              </w:rPr>
              <w:t>Integrovaný oxymetr pro přesné stanovení saturace, Hb a jeho derivátů.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F2B7C31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6248315A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53DF33EE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24F3092" w14:textId="6F11E49A" w:rsidR="00C74E4C" w:rsidRPr="005B3924" w:rsidRDefault="00BD4382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74E4C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13072E8D" w14:textId="7A966878" w:rsidR="00C74E4C" w:rsidRPr="005B3924" w:rsidRDefault="005B3924" w:rsidP="00C74E4C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B3924">
              <w:rPr>
                <w:rFonts w:ascii="Arial" w:hAnsi="Arial" w:cs="Arial"/>
                <w:snapToGrid w:val="0"/>
                <w:sz w:val="20"/>
                <w:szCs w:val="20"/>
              </w:rPr>
              <w:t>Oxymetr s automatickým potlačením a korekcí na interferující látky.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591A513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F76992E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74E4C" w:rsidRPr="007B7B35" w14:paraId="42BB9019" w14:textId="77777777" w:rsidTr="005B3924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4D81079" w14:textId="5494D8DE" w:rsidR="00C74E4C" w:rsidRPr="005B3924" w:rsidRDefault="00BD4382" w:rsidP="00C74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C74E4C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</w:tcPr>
          <w:p w14:paraId="5FFCB1B8" w14:textId="33D83A3B" w:rsidR="00C74E4C" w:rsidRPr="005B3924" w:rsidRDefault="005B3924" w:rsidP="00C74E4C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B3924">
              <w:rPr>
                <w:rFonts w:ascii="Arial" w:hAnsi="Arial" w:cs="Arial"/>
                <w:snapToGrid w:val="0"/>
                <w:sz w:val="20"/>
                <w:szCs w:val="20"/>
              </w:rPr>
              <w:t>Detekce chyb při nasátí vzorků (homogenita, bubliny, sraženiny, množství vzorku).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C3ACFC9" w14:textId="77777777" w:rsidR="00C74E4C" w:rsidRPr="007B7B35" w:rsidRDefault="00C74E4C" w:rsidP="00C74E4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7423A18" w14:textId="77777777" w:rsidR="00C74E4C" w:rsidRPr="007B7B35" w:rsidRDefault="00C74E4C" w:rsidP="00C74E4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56A5C85A" w14:textId="77777777" w:rsidTr="00346357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093DFC8" w14:textId="4BA67D2C" w:rsidR="005B3924" w:rsidRPr="005B3924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B3924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3FCC72F" w14:textId="425CC2B3" w:rsidR="005B3924" w:rsidRPr="005B3924" w:rsidRDefault="005B3924" w:rsidP="005B3924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Minimální objem vzorku- maximální objem vzorku pro všechny měřené parametry 95µl.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3723384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F2EEF79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6107D4E9" w14:textId="77777777" w:rsidTr="00F4467A">
        <w:trPr>
          <w:trHeight w:val="283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10404E8" w14:textId="311C87A2" w:rsidR="005B3924" w:rsidRPr="005B3924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B3924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3CF474" w14:textId="7D94F13C" w:rsidR="005B3924" w:rsidRPr="005B3924" w:rsidRDefault="005B3924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Automatická kontrola kvality na minimálně 3 koncentračních úrovních, multiparametrové kontroly (vše v jedné kontrole včetně oxymetrie).</w:t>
            </w:r>
          </w:p>
        </w:tc>
        <w:tc>
          <w:tcPr>
            <w:tcW w:w="1128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77AB425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otted" w:sz="4" w:space="0" w:color="00000A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95DDD84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0DBD9921" w14:textId="77777777" w:rsidTr="00A941AC">
        <w:trPr>
          <w:trHeight w:val="70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47FE52F" w14:textId="52A02744" w:rsidR="005B3924" w:rsidRPr="005B3924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B3924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731643" w14:textId="154F036D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Statistické vyhodnocení kontroly kvality s vizualizací na obrazovce (Levey-Jennings graf).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029B8F7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0BA9D784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40944897" w14:textId="77777777" w:rsidTr="00894420">
        <w:trPr>
          <w:trHeight w:val="70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D6BC3E0" w14:textId="5B52FE15" w:rsidR="005B3924" w:rsidRPr="005B3924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B3924"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610AF" w14:textId="4A1649FA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Požadavek na zálohu při výpadku elektrické sítě - UPS v ceně přístrojů.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6CFAFF22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41ABB67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1FA6130D" w14:textId="77777777" w:rsidTr="00D13889">
        <w:trPr>
          <w:trHeight w:val="70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31323B3" w14:textId="4E9F99ED" w:rsidR="005B3924" w:rsidRPr="005B3924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4D88CE" w14:textId="26437EB9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Obslužný SW analyzátoru kompletně v češtině.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9862D8F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2B8EC847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751ECEDF" w14:textId="77777777" w:rsidTr="00A426AF">
        <w:trPr>
          <w:trHeight w:val="70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DAF32F" w14:textId="5EB25FEB" w:rsidR="005B3924" w:rsidRPr="005B3924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AB02EC3" w14:textId="5368C2A2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Ovládání přístroje a měření po přihlášení osobního ID operátora.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43FEBCC4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1E9C8173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14160E19" w14:textId="77777777" w:rsidTr="00E52B9F">
        <w:trPr>
          <w:trHeight w:val="70"/>
          <w:jc w:val="center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20B70E" w14:textId="0E11D5D0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1</w:t>
            </w:r>
            <w:r w:rsidR="00BD4382">
              <w:rPr>
                <w:rFonts w:ascii="Arial" w:hAnsi="Arial" w:cs="Arial"/>
                <w:sz w:val="20"/>
                <w:szCs w:val="20"/>
              </w:rPr>
              <w:t>0</w:t>
            </w:r>
            <w:r w:rsidRPr="005B39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21B6FB9" w14:textId="1DECB6BE" w:rsidR="005B3924" w:rsidRPr="005B3924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924">
              <w:rPr>
                <w:rFonts w:ascii="Arial" w:hAnsi="Arial" w:cs="Arial"/>
                <w:sz w:val="20"/>
                <w:szCs w:val="20"/>
              </w:rPr>
              <w:t>Načtení osobního ID pacienta, případně dalších uživatelsky zvolených parametrů– čtečka čárového kódu i ruční zadání.</w:t>
            </w:r>
          </w:p>
        </w:tc>
        <w:tc>
          <w:tcPr>
            <w:tcW w:w="11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3199EBAB" w14:textId="77777777" w:rsidR="005B3924" w:rsidRPr="007B7B35" w:rsidRDefault="005B3924" w:rsidP="005B392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tcMar>
              <w:left w:w="108" w:type="dxa"/>
            </w:tcMar>
            <w:vAlign w:val="center"/>
          </w:tcPr>
          <w:p w14:paraId="78F2C254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3BFE9712" w14:textId="77777777" w:rsidTr="00C74E4C">
        <w:trPr>
          <w:trHeight w:val="283"/>
          <w:jc w:val="center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</w:tcPr>
          <w:p w14:paraId="5C5ECD80" w14:textId="1C48C4BB" w:rsidR="005B3924" w:rsidRPr="007B7B35" w:rsidRDefault="005B3924" w:rsidP="005B3924">
            <w:pPr>
              <w:pStyle w:val="Zkladntext"/>
              <w:tabs>
                <w:tab w:val="left" w:pos="708"/>
              </w:tabs>
              <w:rPr>
                <w:rFonts w:ascii="Arial" w:eastAsia="Calibri" w:hAnsi="Arial" w:cs="Arial"/>
                <w:b/>
                <w:sz w:val="20"/>
                <w:lang w:eastAsia="zh-CN"/>
              </w:rPr>
            </w:pPr>
            <w:r>
              <w:rPr>
                <w:rFonts w:ascii="Arial" w:eastAsia="Calibri" w:hAnsi="Arial" w:cs="Arial"/>
                <w:b/>
                <w:sz w:val="20"/>
                <w:lang w:eastAsia="zh-CN"/>
              </w:rPr>
              <w:t>TECHNICKÉ</w:t>
            </w:r>
            <w:r w:rsidRPr="007B7B35">
              <w:rPr>
                <w:rFonts w:ascii="Arial" w:eastAsia="Calibri" w:hAnsi="Arial" w:cs="Arial"/>
                <w:b/>
                <w:sz w:val="20"/>
                <w:lang w:eastAsia="zh-CN"/>
              </w:rPr>
              <w:t xml:space="preserve"> POŽADAVKY </w:t>
            </w:r>
            <w:r>
              <w:rPr>
                <w:rFonts w:ascii="Arial" w:eastAsia="Calibri" w:hAnsi="Arial" w:cs="Arial"/>
                <w:b/>
                <w:sz w:val="20"/>
                <w:lang w:eastAsia="zh-CN"/>
              </w:rPr>
              <w:t>PRO STOLNÍ ANALYZÁTOR</w:t>
            </w:r>
          </w:p>
        </w:tc>
      </w:tr>
      <w:tr w:rsidR="005B3924" w:rsidRPr="007B7B35" w14:paraId="2D79B12C" w14:textId="13A32B26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14:paraId="00FE0E5D" w14:textId="5D443C71" w:rsidR="005B3924" w:rsidRPr="00BD4382" w:rsidRDefault="005B3924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14:paraId="6277543A" w14:textId="39DA9B21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Dlouhá záruka na všechny elektrody – uveďte záruku poskytovanou výrobcem (nikoliv životnost).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75BAFAE9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6A75D8C9" w14:textId="2577F75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8E9EFB" w14:textId="1C794211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B3924" w:rsidRPr="00BD43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6F8D91" w14:textId="44F60D87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Načtení elektrody, membrány, všech provozních roztoků a kontrolního materiálu přes čárový kód.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065892D6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1F7C25BA" w14:textId="5D273354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0A9829" w14:textId="64D361F5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B3924" w:rsidRPr="00BD43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3E00B43" w14:textId="4FFA78C4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Automatická detekce hladiny všech roztoků.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3E8F7E1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7C986D4D" w14:textId="68ABCB1A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C01953" w14:textId="0DC7D326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B3924" w:rsidRPr="00BD438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20FC12" w14:textId="44070650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Proplachovací a kalibrační roztoky stabilní do data expirace.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219B978A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2F738780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AA1E6A7" w14:textId="714D7961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1A606C" w14:textId="7C11E71C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Minimální počet dvoubodových kalibrací – max. 4 za 24 hodin.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EF1DB36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743C7858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8135DA" w14:textId="7575F6A5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FBA84A" w14:textId="2CC05CA6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Možnost naprogramování vlastní frekvence provádění kontrolních měření i kalibrací (jak úrovně, tak denní četnosti).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273EC49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6E50893D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161BB3" w14:textId="6B237AAC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3158E0" w14:textId="540F94E5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Možnost integrovaného podavače s funkcí automatického promíchání a zpracování vzorků.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6F2B61B7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791001AD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8A7033D" w14:textId="0D4C23C2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A342436" w14:textId="1CD905F1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Palubní tiskárna s volitelnou možností tisknutí/netisknutí výsledkového protokolu.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D5DF86B" w14:textId="77777777" w:rsidR="005B3924" w:rsidRPr="007B7B35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B3924" w:rsidRPr="007B7B35" w14:paraId="4B59B454" w14:textId="77777777" w:rsidTr="00BD4382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  <w:vAlign w:val="center"/>
          </w:tcPr>
          <w:p w14:paraId="031B5A09" w14:textId="366A61CA" w:rsidR="005B3924" w:rsidRPr="00BD4382" w:rsidRDefault="00BD4382" w:rsidP="00BD4382">
            <w:pPr>
              <w:pStyle w:val="Zkladntext"/>
              <w:tabs>
                <w:tab w:val="left" w:pos="708"/>
              </w:tabs>
              <w:rPr>
                <w:rFonts w:ascii="Arial" w:eastAsia="Calibri" w:hAnsi="Arial" w:cs="Arial"/>
                <w:b/>
                <w:sz w:val="20"/>
                <w:lang w:eastAsia="zh-CN"/>
              </w:rPr>
            </w:pPr>
            <w:r w:rsidRPr="00BD4382">
              <w:rPr>
                <w:rFonts w:ascii="Arial" w:eastAsia="Calibri" w:hAnsi="Arial" w:cs="Arial"/>
                <w:b/>
                <w:sz w:val="20"/>
                <w:lang w:eastAsia="zh-CN"/>
              </w:rPr>
              <w:t>KONEKTIVITA</w:t>
            </w:r>
          </w:p>
        </w:tc>
      </w:tr>
      <w:tr w:rsidR="005B3924" w:rsidRPr="007B7B35" w14:paraId="41C91C0A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D3EDC7" w14:textId="6FE7120F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55AA15" w14:textId="13CBB189" w:rsidR="005B3924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Napojení na aktuální LIS.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E6AC9B5" w14:textId="77777777" w:rsidR="005B3924" w:rsidRPr="00BD4382" w:rsidRDefault="005B3924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14B13A64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D99871" w14:textId="1659367D" w:rsidR="00BD4382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B9E265" w14:textId="62631663" w:rsidR="00BD4382" w:rsidRPr="00BD4382" w:rsidRDefault="00BD4382" w:rsidP="005B3924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4382">
              <w:rPr>
                <w:rFonts w:ascii="Arial" w:hAnsi="Arial" w:cs="Arial"/>
                <w:sz w:val="20"/>
                <w:szCs w:val="20"/>
              </w:rPr>
              <w:t>Dodávka jedné řídící IT platformy a propojení analyzátoru. Platforma bude umožňovat jejich on-line správu. Bude zajišťovat sledování kontroly jakosti, umožňovat dohled nad všemi zadanými nebo naměřenými daty.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C2F1122" w14:textId="77777777" w:rsidR="00BD4382" w:rsidRPr="00BD4382" w:rsidRDefault="00BD4382" w:rsidP="005B392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191E5EB8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2CDFB9" w14:textId="54893E9C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8F9046" w14:textId="76655C5F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IT platformy kompletně v českém jazyce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4F9EC5FD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64B937ED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FC0A386" w14:textId="4B1A0286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4E2D4F" w14:textId="39F7EC09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Dálková správa zařízení v rámci nemocnice a ze servisního centra dodavatele včetně dnů pracovního klidu.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3E2D238A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154FB010" w14:textId="77777777" w:rsidTr="005B3924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877D24D" w14:textId="00625E3D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CB8C52" w14:textId="182DA77C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cs-CZ"/>
              </w:rPr>
              <w:t>Bezplatná možnost SW a HW upgrade přístroje (v souvislosti s rozšířením využitelnosti přístroje, zavedení nových parametrů atd.).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76D2F00A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39152B0A" w14:textId="77777777" w:rsidTr="00BD4382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1049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2DBDB" w:themeFill="accent2" w:themeFillTint="33"/>
            <w:vAlign w:val="center"/>
          </w:tcPr>
          <w:p w14:paraId="63B1DA6B" w14:textId="075ED10F" w:rsidR="00BD4382" w:rsidRPr="00BD4382" w:rsidRDefault="00BD4382" w:rsidP="00BD438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BD4382">
              <w:rPr>
                <w:rFonts w:ascii="Arial" w:hAnsi="Arial" w:cs="Arial"/>
                <w:b/>
                <w:bCs/>
                <w:sz w:val="20"/>
                <w:szCs w:val="20"/>
              </w:rPr>
              <w:t>DALŠÍ POŽADAVKY (nedílnou součástí předmětu plnění veřejné zakázky)</w:t>
            </w:r>
          </w:p>
        </w:tc>
      </w:tr>
      <w:tr w:rsidR="00BD4382" w:rsidRPr="007B7B35" w14:paraId="49F3122B" w14:textId="77777777" w:rsidTr="00AE3B4F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F9C1AF" w14:textId="3B8C8B53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881BCF" w14:textId="7CE21A21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cs-CZ" w:bidi="ar-SA"/>
              </w:rPr>
              <w:t>Bezplatné zajištění autorizovaného servisu a oprav pro zapůjčené přístrojové vybavení nejpozději do 24 hod po nahlášení závady.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2A9FA7BF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304E41B2" w14:textId="77777777" w:rsidTr="00AE3B4F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A3D7820" w14:textId="6C059765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3361A40" w14:textId="4FD27085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cs-CZ" w:bidi="ar-SA"/>
              </w:rPr>
              <w:t>V případě dílenské/dlouhodobé opravy zápůjčka stejného nebo podobného typu analyzátoru firmou zdarma.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1D99CCB0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2AEC9857" w14:textId="77777777" w:rsidTr="00AE3B4F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8C9F045" w14:textId="367E038D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137750" w14:textId="39FCD4E2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cs-CZ" w:bidi="ar-SA"/>
              </w:rPr>
              <w:t>Bezplatná technická podpora při řešení technických a analytických problémů (informační servis).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53D4EF49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4382" w:rsidRPr="007B7B35" w14:paraId="28CE381B" w14:textId="77777777" w:rsidTr="00AE3B4F">
        <w:tblPrEx>
          <w:jc w:val="lef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single" w:sz="6" w:space="0" w:color="auto"/>
          </w:tblBorders>
        </w:tblPrEx>
        <w:trPr>
          <w:trHeight w:val="380"/>
        </w:trPr>
        <w:tc>
          <w:tcPr>
            <w:tcW w:w="5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C386D16" w14:textId="0C24CBC7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26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BDB072" w14:textId="5D1C0615" w:rsidR="00BD4382" w:rsidRPr="00BD4382" w:rsidRDefault="00BD4382" w:rsidP="00BD4382">
            <w:pPr>
              <w:tabs>
                <w:tab w:val="left" w:pos="851"/>
              </w:tabs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Hot-line včetně dnů pracovního volna a pracovního klidu.</w:t>
            </w:r>
          </w:p>
        </w:tc>
        <w:tc>
          <w:tcPr>
            <w:tcW w:w="359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99"/>
            <w:vAlign w:val="center"/>
          </w:tcPr>
          <w:p w14:paraId="7726DBE1" w14:textId="77777777" w:rsidR="00BD4382" w:rsidRPr="00BD4382" w:rsidRDefault="00BD4382" w:rsidP="00BD4382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E6FB149" w14:textId="68584E12" w:rsidR="004E08FB" w:rsidRPr="007B7B35" w:rsidRDefault="004E08FB" w:rsidP="004E08FB">
      <w:pPr>
        <w:autoSpaceDE w:val="0"/>
        <w:autoSpaceDN w:val="0"/>
        <w:adjustRightInd w:val="0"/>
        <w:spacing w:before="240"/>
        <w:ind w:left="-284" w:right="-369"/>
        <w:jc w:val="both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 xml:space="preserve">Pozn.: Pokud tato Technická specifikace nebo jiná část Zadávací dokumentace včetně všech jejích příloh obsahuje požadavky a odkazy na obchodní firmy, názvy nebo specifická označení výrobků, nebo patentů na vynálezy, užitné vzory, průmyslové vzory, ochranné známky nebo označení původu, zadavatel výslovně uvádí, že umožňuje použití </w:t>
      </w:r>
      <w:r w:rsidRPr="007B7B35">
        <w:rPr>
          <w:rFonts w:ascii="Arial" w:hAnsi="Arial" w:cs="Arial"/>
          <w:sz w:val="20"/>
          <w:szCs w:val="20"/>
        </w:rPr>
        <w:lastRenderedPageBreak/>
        <w:t>i jiných, kvalitativně</w:t>
      </w:r>
      <w:r w:rsidR="00A66233">
        <w:rPr>
          <w:rFonts w:ascii="Arial" w:hAnsi="Arial" w:cs="Arial"/>
          <w:sz w:val="20"/>
          <w:szCs w:val="20"/>
        </w:rPr>
        <w:t xml:space="preserve"> </w:t>
      </w:r>
      <w:r w:rsidRPr="007B7B35">
        <w:rPr>
          <w:rFonts w:ascii="Arial" w:hAnsi="Arial" w:cs="Arial"/>
          <w:sz w:val="20"/>
          <w:szCs w:val="20"/>
        </w:rPr>
        <w:t>a technicky rovnocenných řešení, které budou splňovat požadavky na předmět plnění veřejné zakázky.</w:t>
      </w:r>
    </w:p>
    <w:p w14:paraId="3DF0FB30" w14:textId="77777777" w:rsidR="004E08FB" w:rsidRPr="007B7B35" w:rsidRDefault="004E08FB" w:rsidP="004E08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D21211" w14:textId="3A7884BE" w:rsidR="004E08FB" w:rsidRPr="007B7B35" w:rsidRDefault="000E37AA" w:rsidP="004E08FB">
      <w:pPr>
        <w:autoSpaceDE w:val="0"/>
        <w:autoSpaceDN w:val="0"/>
        <w:adjustRightInd w:val="0"/>
        <w:ind w:left="-284"/>
        <w:jc w:val="both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>Vyplněním této přílohy</w:t>
      </w:r>
      <w:r w:rsidR="004E08FB" w:rsidRPr="007B7B35">
        <w:rPr>
          <w:rFonts w:ascii="Arial" w:hAnsi="Arial" w:cs="Arial"/>
          <w:sz w:val="20"/>
          <w:szCs w:val="20"/>
        </w:rPr>
        <w:t xml:space="preserve"> stvrzuji, že nabízené plnění obsahuje výše uvedené hodnoty a má výše uvedené parametry a charakteristiky. </w:t>
      </w:r>
    </w:p>
    <w:p w14:paraId="290BE05B" w14:textId="77777777" w:rsidR="004E08FB" w:rsidRPr="007B7B35" w:rsidRDefault="004E08FB" w:rsidP="004E08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61EB10" w14:textId="77777777" w:rsidR="004E08FB" w:rsidRPr="007B7B35" w:rsidRDefault="004E08FB" w:rsidP="004E08FB">
      <w:pPr>
        <w:ind w:left="-284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 xml:space="preserve">Datum: </w:t>
      </w:r>
      <w:r w:rsidRPr="007B7B35">
        <w:rPr>
          <w:rFonts w:ascii="Arial" w:hAnsi="Arial" w:cs="Arial"/>
          <w:sz w:val="20"/>
          <w:szCs w:val="20"/>
          <w:highlight w:val="yellow"/>
        </w:rPr>
        <w:t>……..</w:t>
      </w:r>
      <w:r w:rsidRPr="007B7B35">
        <w:rPr>
          <w:rFonts w:ascii="Arial" w:hAnsi="Arial" w:cs="Arial"/>
          <w:sz w:val="20"/>
          <w:szCs w:val="20"/>
        </w:rPr>
        <w:tab/>
      </w:r>
      <w:r w:rsidRPr="007B7B35">
        <w:rPr>
          <w:rFonts w:ascii="Arial" w:hAnsi="Arial" w:cs="Arial"/>
          <w:sz w:val="20"/>
          <w:szCs w:val="20"/>
        </w:rPr>
        <w:tab/>
      </w:r>
      <w:r w:rsidRPr="007B7B35">
        <w:rPr>
          <w:rFonts w:ascii="Arial" w:hAnsi="Arial" w:cs="Arial"/>
          <w:sz w:val="20"/>
          <w:szCs w:val="20"/>
        </w:rPr>
        <w:tab/>
      </w:r>
    </w:p>
    <w:p w14:paraId="7FE680DD" w14:textId="67115793" w:rsidR="004E08FB" w:rsidRPr="007B7B35" w:rsidRDefault="004E08FB" w:rsidP="004E08FB">
      <w:pPr>
        <w:ind w:left="-284"/>
        <w:rPr>
          <w:rFonts w:ascii="Arial" w:hAnsi="Arial" w:cs="Arial"/>
          <w:sz w:val="20"/>
          <w:szCs w:val="20"/>
        </w:rPr>
      </w:pPr>
      <w:r w:rsidRPr="007B7B35">
        <w:rPr>
          <w:rFonts w:ascii="Arial" w:hAnsi="Arial" w:cs="Arial"/>
          <w:sz w:val="20"/>
          <w:szCs w:val="20"/>
        </w:rPr>
        <w:t xml:space="preserve">Jméno, příjmení osoby oprávněné za účastníka jednat: </w:t>
      </w:r>
      <w:r w:rsidRPr="007B7B35">
        <w:rPr>
          <w:rFonts w:ascii="Arial" w:hAnsi="Arial" w:cs="Arial"/>
          <w:sz w:val="20"/>
          <w:szCs w:val="20"/>
          <w:highlight w:val="yellow"/>
        </w:rPr>
        <w:t>….</w:t>
      </w:r>
    </w:p>
    <w:p w14:paraId="16172FD0" w14:textId="77777777" w:rsidR="00D23BB8" w:rsidRPr="007B7B35" w:rsidRDefault="00D23BB8" w:rsidP="00D23BB8">
      <w:pPr>
        <w:rPr>
          <w:rFonts w:ascii="Arial" w:hAnsi="Arial" w:cs="Arial"/>
          <w:sz w:val="20"/>
          <w:szCs w:val="20"/>
        </w:rPr>
      </w:pPr>
    </w:p>
    <w:sectPr w:rsidR="00D23BB8" w:rsidRPr="007B7B35" w:rsidSect="007E04DC">
      <w:headerReference w:type="default" r:id="rId8"/>
      <w:footerReference w:type="default" r:id="rId9"/>
      <w:pgSz w:w="11906" w:h="16838"/>
      <w:pgMar w:top="1701" w:right="1247" w:bottom="1560" w:left="124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4A009" w14:textId="77777777" w:rsidR="00A11F03" w:rsidRDefault="00A11F03">
      <w:r>
        <w:separator/>
      </w:r>
    </w:p>
  </w:endnote>
  <w:endnote w:type="continuationSeparator" w:id="0">
    <w:p w14:paraId="485B3F7B" w14:textId="77777777" w:rsidR="00A11F03" w:rsidRDefault="00A1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BA360" w14:textId="3D3A6171" w:rsidR="00784305" w:rsidRPr="00A66233" w:rsidRDefault="00784305" w:rsidP="002232BC">
    <w:pPr>
      <w:pStyle w:val="Zpat"/>
      <w:tabs>
        <w:tab w:val="clear" w:pos="6374"/>
        <w:tab w:val="right" w:pos="9412"/>
      </w:tabs>
      <w:jc w:val="left"/>
      <w:rPr>
        <w:rFonts w:ascii="Arial" w:hAnsi="Arial" w:cs="Arial"/>
        <w:sz w:val="24"/>
        <w:szCs w:val="24"/>
      </w:rPr>
    </w:pPr>
    <w:r w:rsidRPr="00A66233">
      <w:rPr>
        <w:rFonts w:ascii="Arial" w:hAnsi="Arial" w:cs="Arial"/>
      </w:rPr>
      <w:t>Technická Specifikace</w:t>
    </w:r>
    <w:r w:rsidRPr="00A66233">
      <w:rPr>
        <w:rFonts w:ascii="Arial" w:hAnsi="Arial" w:cs="Arial"/>
      </w:rPr>
      <w:tab/>
    </w:r>
    <w:sdt>
      <w:sdtPr>
        <w:rPr>
          <w:rFonts w:ascii="Arial" w:hAnsi="Arial" w:cs="Arial"/>
          <w:sz w:val="22"/>
          <w:szCs w:val="22"/>
        </w:rPr>
        <w:id w:val="-149296827"/>
        <w:docPartObj>
          <w:docPartGallery w:val="Page Numbers (Bottom of Page)"/>
          <w:docPartUnique/>
        </w:docPartObj>
      </w:sdtPr>
      <w:sdtEndPr/>
      <w:sdtContent>
        <w:r w:rsidRPr="00A66233">
          <w:rPr>
            <w:rFonts w:ascii="Arial" w:hAnsi="Arial" w:cs="Arial"/>
            <w:sz w:val="22"/>
            <w:szCs w:val="22"/>
          </w:rPr>
          <w:fldChar w:fldCharType="begin"/>
        </w:r>
        <w:r w:rsidRPr="00A66233">
          <w:rPr>
            <w:rFonts w:ascii="Arial" w:hAnsi="Arial" w:cs="Arial"/>
            <w:sz w:val="22"/>
            <w:szCs w:val="22"/>
          </w:rPr>
          <w:instrText>PAGE   \* MERGEFORMAT</w:instrText>
        </w:r>
        <w:r w:rsidRPr="00A66233">
          <w:rPr>
            <w:rFonts w:ascii="Arial" w:hAnsi="Arial" w:cs="Arial"/>
            <w:sz w:val="22"/>
            <w:szCs w:val="22"/>
          </w:rPr>
          <w:fldChar w:fldCharType="separate"/>
        </w:r>
        <w:r w:rsidR="00BD44C1" w:rsidRPr="00A66233">
          <w:rPr>
            <w:rFonts w:ascii="Arial" w:hAnsi="Arial" w:cs="Arial"/>
            <w:noProof/>
            <w:sz w:val="22"/>
            <w:szCs w:val="22"/>
          </w:rPr>
          <w:t>6</w:t>
        </w:r>
        <w:r w:rsidRPr="00A66233">
          <w:rPr>
            <w:rFonts w:ascii="Arial" w:hAnsi="Arial" w:cs="Arial"/>
            <w:sz w:val="22"/>
            <w:szCs w:val="22"/>
          </w:rPr>
          <w:fldChar w:fldCharType="end"/>
        </w:r>
      </w:sdtContent>
    </w:sdt>
  </w:p>
  <w:p w14:paraId="58C7531E" w14:textId="77777777" w:rsidR="00784305" w:rsidRDefault="0078430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5741" w14:textId="77777777" w:rsidR="00A11F03" w:rsidRDefault="00A11F03">
      <w:r>
        <w:separator/>
      </w:r>
    </w:p>
  </w:footnote>
  <w:footnote w:type="continuationSeparator" w:id="0">
    <w:p w14:paraId="37ED99FD" w14:textId="77777777" w:rsidR="00A11F03" w:rsidRDefault="00A11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7E42E" w14:textId="5A0DBA3D" w:rsidR="00784305" w:rsidRPr="007B7B35" w:rsidRDefault="007B7B35" w:rsidP="007B7B35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5BAEAC9F" wp14:editId="57213045">
          <wp:simplePos x="0" y="0"/>
          <wp:positionH relativeFrom="column">
            <wp:posOffset>0</wp:posOffset>
          </wp:positionH>
          <wp:positionV relativeFrom="paragraph">
            <wp:posOffset>156210</wp:posOffset>
          </wp:positionV>
          <wp:extent cx="1714500" cy="542925"/>
          <wp:effectExtent l="0" t="0" r="0" b="0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3A5"/>
    <w:multiLevelType w:val="hybridMultilevel"/>
    <w:tmpl w:val="C1EE72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35235"/>
    <w:multiLevelType w:val="hybridMultilevel"/>
    <w:tmpl w:val="F1B66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B1774"/>
    <w:multiLevelType w:val="hybridMultilevel"/>
    <w:tmpl w:val="0A8E6316"/>
    <w:lvl w:ilvl="0" w:tplc="0405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3" w15:restartNumberingAfterBreak="0">
    <w:nsid w:val="18AE6F56"/>
    <w:multiLevelType w:val="multilevel"/>
    <w:tmpl w:val="F1724036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C0066F"/>
    <w:multiLevelType w:val="hybridMultilevel"/>
    <w:tmpl w:val="1B143CAA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52920"/>
    <w:multiLevelType w:val="hybridMultilevel"/>
    <w:tmpl w:val="B2D87E7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41677"/>
    <w:multiLevelType w:val="hybridMultilevel"/>
    <w:tmpl w:val="096E4676"/>
    <w:lvl w:ilvl="0" w:tplc="EE8640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FF10C37"/>
    <w:multiLevelType w:val="hybridMultilevel"/>
    <w:tmpl w:val="632CE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85E"/>
    <w:multiLevelType w:val="hybridMultilevel"/>
    <w:tmpl w:val="EB7EE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D10FF"/>
    <w:multiLevelType w:val="hybridMultilevel"/>
    <w:tmpl w:val="167863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0B0735"/>
    <w:multiLevelType w:val="hybridMultilevel"/>
    <w:tmpl w:val="5844A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8108D"/>
    <w:multiLevelType w:val="hybridMultilevel"/>
    <w:tmpl w:val="39386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D6B0C"/>
    <w:multiLevelType w:val="multilevel"/>
    <w:tmpl w:val="D45EC6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64777FC3"/>
    <w:multiLevelType w:val="multilevel"/>
    <w:tmpl w:val="F38A7660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77E16A9"/>
    <w:multiLevelType w:val="hybridMultilevel"/>
    <w:tmpl w:val="06263F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951779"/>
    <w:multiLevelType w:val="hybridMultilevel"/>
    <w:tmpl w:val="14426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C4DE8">
      <w:numFmt w:val="bullet"/>
      <w:lvlText w:val="-"/>
      <w:lvlJc w:val="left"/>
      <w:pPr>
        <w:ind w:left="1440" w:hanging="360"/>
      </w:pPr>
      <w:rPr>
        <w:rFonts w:ascii="Cambria" w:eastAsiaTheme="minorEastAsia" w:hAnsi="Cambri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13A3A"/>
    <w:multiLevelType w:val="hybridMultilevel"/>
    <w:tmpl w:val="83C0D0BE"/>
    <w:lvl w:ilvl="0" w:tplc="EABE187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52AB1"/>
    <w:multiLevelType w:val="hybridMultilevel"/>
    <w:tmpl w:val="8EAAB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04511"/>
    <w:multiLevelType w:val="hybridMultilevel"/>
    <w:tmpl w:val="FD5EC7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18"/>
  </w:num>
  <w:num w:numId="9">
    <w:abstractNumId w:val="9"/>
  </w:num>
  <w:num w:numId="10">
    <w:abstractNumId w:val="18"/>
  </w:num>
  <w:num w:numId="11">
    <w:abstractNumId w:val="0"/>
  </w:num>
  <w:num w:numId="12">
    <w:abstractNumId w:val="2"/>
  </w:num>
  <w:num w:numId="13">
    <w:abstractNumId w:val="15"/>
  </w:num>
  <w:num w:numId="14">
    <w:abstractNumId w:val="1"/>
  </w:num>
  <w:num w:numId="15">
    <w:abstractNumId w:val="17"/>
  </w:num>
  <w:num w:numId="16">
    <w:abstractNumId w:val="8"/>
  </w:num>
  <w:num w:numId="17">
    <w:abstractNumId w:val="11"/>
  </w:num>
  <w:num w:numId="18">
    <w:abstractNumId w:val="14"/>
  </w:num>
  <w:num w:numId="19">
    <w:abstractNumId w:val="10"/>
  </w:num>
  <w:num w:numId="20">
    <w:abstractNumId w:val="6"/>
  </w:num>
  <w:num w:numId="21">
    <w:abstractNumId w:val="13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92"/>
    <w:rsid w:val="00004CFB"/>
    <w:rsid w:val="0001328C"/>
    <w:rsid w:val="0001350F"/>
    <w:rsid w:val="000208D7"/>
    <w:rsid w:val="0002251A"/>
    <w:rsid w:val="0003660D"/>
    <w:rsid w:val="00045A38"/>
    <w:rsid w:val="0004673F"/>
    <w:rsid w:val="000624AD"/>
    <w:rsid w:val="00064414"/>
    <w:rsid w:val="00066526"/>
    <w:rsid w:val="000673E9"/>
    <w:rsid w:val="000759E0"/>
    <w:rsid w:val="000963F1"/>
    <w:rsid w:val="000A4653"/>
    <w:rsid w:val="000B405C"/>
    <w:rsid w:val="000B67BA"/>
    <w:rsid w:val="000C410D"/>
    <w:rsid w:val="000C7AC7"/>
    <w:rsid w:val="000D295E"/>
    <w:rsid w:val="000D4DC6"/>
    <w:rsid w:val="000E37AA"/>
    <w:rsid w:val="000F1051"/>
    <w:rsid w:val="000F74D4"/>
    <w:rsid w:val="00110AEF"/>
    <w:rsid w:val="0011616A"/>
    <w:rsid w:val="00125BF2"/>
    <w:rsid w:val="00142BE6"/>
    <w:rsid w:val="00143147"/>
    <w:rsid w:val="00143D6C"/>
    <w:rsid w:val="0014630C"/>
    <w:rsid w:val="00147AC9"/>
    <w:rsid w:val="00160176"/>
    <w:rsid w:val="00160E85"/>
    <w:rsid w:val="001730B6"/>
    <w:rsid w:val="00180EF5"/>
    <w:rsid w:val="00191A79"/>
    <w:rsid w:val="00192F5B"/>
    <w:rsid w:val="001A5ED9"/>
    <w:rsid w:val="001B0FCB"/>
    <w:rsid w:val="001D3428"/>
    <w:rsid w:val="001D6D0A"/>
    <w:rsid w:val="001E4D89"/>
    <w:rsid w:val="001F0BFC"/>
    <w:rsid w:val="001F5C67"/>
    <w:rsid w:val="002119A9"/>
    <w:rsid w:val="00213412"/>
    <w:rsid w:val="00222EC4"/>
    <w:rsid w:val="002232BC"/>
    <w:rsid w:val="002243FB"/>
    <w:rsid w:val="00226B41"/>
    <w:rsid w:val="002356A4"/>
    <w:rsid w:val="002459AD"/>
    <w:rsid w:val="00270BAC"/>
    <w:rsid w:val="002778A0"/>
    <w:rsid w:val="002817A6"/>
    <w:rsid w:val="00281CCE"/>
    <w:rsid w:val="00297BEE"/>
    <w:rsid w:val="002A0E1F"/>
    <w:rsid w:val="002A0FB6"/>
    <w:rsid w:val="002A21E3"/>
    <w:rsid w:val="002D4AFD"/>
    <w:rsid w:val="002E3861"/>
    <w:rsid w:val="002E3D17"/>
    <w:rsid w:val="002F04C9"/>
    <w:rsid w:val="00304C7E"/>
    <w:rsid w:val="00305358"/>
    <w:rsid w:val="003107B6"/>
    <w:rsid w:val="003131FA"/>
    <w:rsid w:val="0032203D"/>
    <w:rsid w:val="00327F9F"/>
    <w:rsid w:val="00352602"/>
    <w:rsid w:val="00353EFA"/>
    <w:rsid w:val="003579C4"/>
    <w:rsid w:val="00372BF4"/>
    <w:rsid w:val="00377C42"/>
    <w:rsid w:val="00383915"/>
    <w:rsid w:val="003A351A"/>
    <w:rsid w:val="003A6A14"/>
    <w:rsid w:val="003C1AE6"/>
    <w:rsid w:val="003C788D"/>
    <w:rsid w:val="003D08D9"/>
    <w:rsid w:val="003E79EA"/>
    <w:rsid w:val="003F0145"/>
    <w:rsid w:val="003F28A7"/>
    <w:rsid w:val="003F6633"/>
    <w:rsid w:val="00412575"/>
    <w:rsid w:val="004150AE"/>
    <w:rsid w:val="00415504"/>
    <w:rsid w:val="00423682"/>
    <w:rsid w:val="004333B2"/>
    <w:rsid w:val="00442451"/>
    <w:rsid w:val="00443980"/>
    <w:rsid w:val="00451566"/>
    <w:rsid w:val="00460C0A"/>
    <w:rsid w:val="00480EBD"/>
    <w:rsid w:val="004840A0"/>
    <w:rsid w:val="00487798"/>
    <w:rsid w:val="004913A9"/>
    <w:rsid w:val="0049457B"/>
    <w:rsid w:val="004A3B1D"/>
    <w:rsid w:val="004A3EDC"/>
    <w:rsid w:val="004C43AD"/>
    <w:rsid w:val="004D2694"/>
    <w:rsid w:val="004D6ECB"/>
    <w:rsid w:val="004D78F5"/>
    <w:rsid w:val="004E0117"/>
    <w:rsid w:val="004E08FB"/>
    <w:rsid w:val="004E4EB9"/>
    <w:rsid w:val="004E6B44"/>
    <w:rsid w:val="004F290E"/>
    <w:rsid w:val="00502BBA"/>
    <w:rsid w:val="00511320"/>
    <w:rsid w:val="0051144C"/>
    <w:rsid w:val="00511AED"/>
    <w:rsid w:val="00527AF3"/>
    <w:rsid w:val="00546F94"/>
    <w:rsid w:val="0055513A"/>
    <w:rsid w:val="0055758E"/>
    <w:rsid w:val="00571FCE"/>
    <w:rsid w:val="0057553C"/>
    <w:rsid w:val="00582644"/>
    <w:rsid w:val="00584BD3"/>
    <w:rsid w:val="005944BF"/>
    <w:rsid w:val="005A1292"/>
    <w:rsid w:val="005A7486"/>
    <w:rsid w:val="005B2211"/>
    <w:rsid w:val="005B23CB"/>
    <w:rsid w:val="005B3924"/>
    <w:rsid w:val="005B441F"/>
    <w:rsid w:val="005C2A4C"/>
    <w:rsid w:val="005D3E71"/>
    <w:rsid w:val="005E019D"/>
    <w:rsid w:val="005F717A"/>
    <w:rsid w:val="00612403"/>
    <w:rsid w:val="006145F4"/>
    <w:rsid w:val="006339B2"/>
    <w:rsid w:val="00634AB4"/>
    <w:rsid w:val="00637726"/>
    <w:rsid w:val="00647F8E"/>
    <w:rsid w:val="0065235C"/>
    <w:rsid w:val="00664EE5"/>
    <w:rsid w:val="006941FE"/>
    <w:rsid w:val="006957DE"/>
    <w:rsid w:val="006A1AB3"/>
    <w:rsid w:val="006A510C"/>
    <w:rsid w:val="006A5208"/>
    <w:rsid w:val="006B762C"/>
    <w:rsid w:val="006C3292"/>
    <w:rsid w:val="006C3F86"/>
    <w:rsid w:val="006C6B2B"/>
    <w:rsid w:val="006D36B0"/>
    <w:rsid w:val="006E23E5"/>
    <w:rsid w:val="006E4DB8"/>
    <w:rsid w:val="006F7144"/>
    <w:rsid w:val="0070347B"/>
    <w:rsid w:val="0071300F"/>
    <w:rsid w:val="007150C6"/>
    <w:rsid w:val="007222D8"/>
    <w:rsid w:val="00727E51"/>
    <w:rsid w:val="00744283"/>
    <w:rsid w:val="00745BE1"/>
    <w:rsid w:val="007551E5"/>
    <w:rsid w:val="00767BD7"/>
    <w:rsid w:val="00770BEB"/>
    <w:rsid w:val="0077228C"/>
    <w:rsid w:val="00777849"/>
    <w:rsid w:val="00784305"/>
    <w:rsid w:val="007864EE"/>
    <w:rsid w:val="0079727B"/>
    <w:rsid w:val="007A6D5D"/>
    <w:rsid w:val="007B0923"/>
    <w:rsid w:val="007B7B35"/>
    <w:rsid w:val="007C0ECB"/>
    <w:rsid w:val="007C4D36"/>
    <w:rsid w:val="007D1435"/>
    <w:rsid w:val="007D2C31"/>
    <w:rsid w:val="007D5044"/>
    <w:rsid w:val="007E04DC"/>
    <w:rsid w:val="0080126B"/>
    <w:rsid w:val="00810DA4"/>
    <w:rsid w:val="00816E01"/>
    <w:rsid w:val="00852A06"/>
    <w:rsid w:val="008611CF"/>
    <w:rsid w:val="008621B0"/>
    <w:rsid w:val="00867AF5"/>
    <w:rsid w:val="00876D78"/>
    <w:rsid w:val="00877C78"/>
    <w:rsid w:val="00883249"/>
    <w:rsid w:val="0088748A"/>
    <w:rsid w:val="008924CE"/>
    <w:rsid w:val="0089636D"/>
    <w:rsid w:val="00896B6D"/>
    <w:rsid w:val="008A33A1"/>
    <w:rsid w:val="008A3688"/>
    <w:rsid w:val="008A7987"/>
    <w:rsid w:val="008B5462"/>
    <w:rsid w:val="008C6D3B"/>
    <w:rsid w:val="008E43AD"/>
    <w:rsid w:val="008F43A7"/>
    <w:rsid w:val="008F5488"/>
    <w:rsid w:val="009052C3"/>
    <w:rsid w:val="00916F97"/>
    <w:rsid w:val="00922F7F"/>
    <w:rsid w:val="009331AD"/>
    <w:rsid w:val="00937F55"/>
    <w:rsid w:val="00944145"/>
    <w:rsid w:val="0095057F"/>
    <w:rsid w:val="0095060B"/>
    <w:rsid w:val="00955953"/>
    <w:rsid w:val="00956C1C"/>
    <w:rsid w:val="00975B1E"/>
    <w:rsid w:val="009817A4"/>
    <w:rsid w:val="0098451F"/>
    <w:rsid w:val="00990050"/>
    <w:rsid w:val="00990518"/>
    <w:rsid w:val="0099100E"/>
    <w:rsid w:val="00991D48"/>
    <w:rsid w:val="009A12CA"/>
    <w:rsid w:val="009C460F"/>
    <w:rsid w:val="009E2E99"/>
    <w:rsid w:val="009F0987"/>
    <w:rsid w:val="009F6085"/>
    <w:rsid w:val="00A11F03"/>
    <w:rsid w:val="00A2570B"/>
    <w:rsid w:val="00A2646F"/>
    <w:rsid w:val="00A27B4B"/>
    <w:rsid w:val="00A3044D"/>
    <w:rsid w:val="00A30B19"/>
    <w:rsid w:val="00A33DFD"/>
    <w:rsid w:val="00A37997"/>
    <w:rsid w:val="00A467A2"/>
    <w:rsid w:val="00A4776F"/>
    <w:rsid w:val="00A661A2"/>
    <w:rsid w:val="00A66233"/>
    <w:rsid w:val="00A708B8"/>
    <w:rsid w:val="00A8424D"/>
    <w:rsid w:val="00A9072D"/>
    <w:rsid w:val="00AA0B53"/>
    <w:rsid w:val="00AA12B5"/>
    <w:rsid w:val="00AD0EED"/>
    <w:rsid w:val="00AE7521"/>
    <w:rsid w:val="00B16414"/>
    <w:rsid w:val="00B31920"/>
    <w:rsid w:val="00B4540D"/>
    <w:rsid w:val="00B54FFF"/>
    <w:rsid w:val="00B551F7"/>
    <w:rsid w:val="00B61CAA"/>
    <w:rsid w:val="00B7548D"/>
    <w:rsid w:val="00B7761B"/>
    <w:rsid w:val="00B81022"/>
    <w:rsid w:val="00B86680"/>
    <w:rsid w:val="00B86C1B"/>
    <w:rsid w:val="00B9483F"/>
    <w:rsid w:val="00BA2DE6"/>
    <w:rsid w:val="00BB3BE0"/>
    <w:rsid w:val="00BC453B"/>
    <w:rsid w:val="00BD0BE2"/>
    <w:rsid w:val="00BD4382"/>
    <w:rsid w:val="00BD44C1"/>
    <w:rsid w:val="00BE2219"/>
    <w:rsid w:val="00BE3591"/>
    <w:rsid w:val="00BE4670"/>
    <w:rsid w:val="00BF4D60"/>
    <w:rsid w:val="00BF6AEC"/>
    <w:rsid w:val="00C01018"/>
    <w:rsid w:val="00C25794"/>
    <w:rsid w:val="00C45AEE"/>
    <w:rsid w:val="00C71C84"/>
    <w:rsid w:val="00C74E4C"/>
    <w:rsid w:val="00C8125A"/>
    <w:rsid w:val="00CB058F"/>
    <w:rsid w:val="00CB663F"/>
    <w:rsid w:val="00CC21FD"/>
    <w:rsid w:val="00CC250A"/>
    <w:rsid w:val="00CD07D9"/>
    <w:rsid w:val="00CD43D8"/>
    <w:rsid w:val="00CD4A1F"/>
    <w:rsid w:val="00CD4B45"/>
    <w:rsid w:val="00CE5423"/>
    <w:rsid w:val="00D01BB0"/>
    <w:rsid w:val="00D03153"/>
    <w:rsid w:val="00D23BB8"/>
    <w:rsid w:val="00D440AF"/>
    <w:rsid w:val="00D448BB"/>
    <w:rsid w:val="00D63445"/>
    <w:rsid w:val="00D73C0B"/>
    <w:rsid w:val="00D740BD"/>
    <w:rsid w:val="00D83D3C"/>
    <w:rsid w:val="00D84DFB"/>
    <w:rsid w:val="00DA48AF"/>
    <w:rsid w:val="00DA777B"/>
    <w:rsid w:val="00DA7DCD"/>
    <w:rsid w:val="00DB13CD"/>
    <w:rsid w:val="00DC0B19"/>
    <w:rsid w:val="00DC2114"/>
    <w:rsid w:val="00DC218A"/>
    <w:rsid w:val="00DD33AB"/>
    <w:rsid w:val="00E100E3"/>
    <w:rsid w:val="00E16FBE"/>
    <w:rsid w:val="00E2417C"/>
    <w:rsid w:val="00E4094B"/>
    <w:rsid w:val="00E47E20"/>
    <w:rsid w:val="00E569C6"/>
    <w:rsid w:val="00E56EC2"/>
    <w:rsid w:val="00E57B13"/>
    <w:rsid w:val="00E61BDB"/>
    <w:rsid w:val="00E633A1"/>
    <w:rsid w:val="00E638AB"/>
    <w:rsid w:val="00E803FF"/>
    <w:rsid w:val="00E80EBB"/>
    <w:rsid w:val="00E841FB"/>
    <w:rsid w:val="00EB4261"/>
    <w:rsid w:val="00EB5DB9"/>
    <w:rsid w:val="00ED2323"/>
    <w:rsid w:val="00EE08F2"/>
    <w:rsid w:val="00EF3DB3"/>
    <w:rsid w:val="00EF542C"/>
    <w:rsid w:val="00EF5C41"/>
    <w:rsid w:val="00F01140"/>
    <w:rsid w:val="00F23726"/>
    <w:rsid w:val="00F34D50"/>
    <w:rsid w:val="00F351AB"/>
    <w:rsid w:val="00F42B96"/>
    <w:rsid w:val="00F446A9"/>
    <w:rsid w:val="00F71937"/>
    <w:rsid w:val="00F80D86"/>
    <w:rsid w:val="00F853FF"/>
    <w:rsid w:val="00F856B3"/>
    <w:rsid w:val="00F87F13"/>
    <w:rsid w:val="00FC0B0A"/>
    <w:rsid w:val="00FC3F63"/>
    <w:rsid w:val="00FC45BC"/>
    <w:rsid w:val="00FC62F3"/>
    <w:rsid w:val="00FC76D3"/>
    <w:rsid w:val="00FD6FD4"/>
    <w:rsid w:val="00FF6D00"/>
    <w:rsid w:val="00FF79F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DFE46"/>
  <w15:docId w15:val="{00B0F47E-C1C1-44B0-924B-DA54CF21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35F11"/>
    <w:rPr>
      <w:rFonts w:asciiTheme="minorHAnsi" w:eastAsiaTheme="minorEastAsia" w:hAnsiTheme="minorHAnsi"/>
      <w:sz w:val="24"/>
      <w:szCs w:val="24"/>
      <w:lang w:eastAsia="en-US" w:bidi="en-US"/>
    </w:rPr>
  </w:style>
  <w:style w:type="paragraph" w:styleId="Nadpis1">
    <w:name w:val="heading 1"/>
    <w:basedOn w:val="Normln"/>
    <w:qFormat/>
    <w:rsid w:val="008B72AB"/>
    <w:pPr>
      <w:keepNext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32"/>
      <w:szCs w:val="32"/>
      <w:lang w:eastAsia="cs-CZ" w:bidi="ar-SA"/>
    </w:rPr>
  </w:style>
  <w:style w:type="paragraph" w:styleId="Nadpis2">
    <w:name w:val="heading 2"/>
    <w:basedOn w:val="Normln"/>
    <w:link w:val="Nadpis2Char"/>
    <w:qFormat/>
    <w:rsid w:val="00AF050E"/>
    <w:pPr>
      <w:keepNext/>
      <w:keepLines/>
      <w:spacing w:before="240" w:after="120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eastAsia="cs-CZ" w:bidi="ar-SA"/>
    </w:rPr>
  </w:style>
  <w:style w:type="paragraph" w:styleId="Nadpis3">
    <w:name w:val="heading 3"/>
    <w:basedOn w:val="Normln"/>
    <w:link w:val="Nadpis3Char"/>
    <w:uiPriority w:val="9"/>
    <w:qFormat/>
    <w:rsid w:val="00A21537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b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04C2E"/>
    <w:rPr>
      <w:rFonts w:ascii="Calibri" w:hAnsi="Calibri"/>
      <w:iCs/>
    </w:rPr>
  </w:style>
  <w:style w:type="character" w:customStyle="1" w:styleId="ZpatChar">
    <w:name w:val="Zápatí Char"/>
    <w:basedOn w:val="Standardnpsmoodstavce"/>
    <w:link w:val="Zpat"/>
    <w:uiPriority w:val="99"/>
    <w:qFormat/>
    <w:rsid w:val="00531E2A"/>
    <w:rPr>
      <w:rFonts w:ascii="Calibri" w:hAnsi="Calibri"/>
      <w:iCs/>
    </w:rPr>
  </w:style>
  <w:style w:type="character" w:customStyle="1" w:styleId="Nadpis2Char">
    <w:name w:val="Nadpis 2 Char"/>
    <w:basedOn w:val="Standardnpsmoodstavce"/>
    <w:link w:val="Nadpis2"/>
    <w:qFormat/>
    <w:rsid w:val="00AF050E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A2153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qFormat/>
    <w:rsid w:val="0080507A"/>
    <w:rPr>
      <w:rFonts w:ascii="Calibri" w:hAnsi="Calibri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Aria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Cambria" w:hAnsi="Cambria" w:cs="Times New Roman"/>
      <w:b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Zkladntext">
    <w:name w:val="Body Text"/>
    <w:basedOn w:val="Normln"/>
    <w:link w:val="ZkladntextChar"/>
    <w:unhideWhenUsed/>
    <w:rsid w:val="00871618"/>
    <w:pPr>
      <w:jc w:val="both"/>
    </w:pPr>
    <w:rPr>
      <w:rFonts w:ascii="Times New Roman" w:eastAsia="Times New Roman" w:hAnsi="Times New Roman"/>
      <w:iCs/>
      <w:szCs w:val="20"/>
      <w:lang w:eastAsia="cs-CZ" w:bidi="ar-SA"/>
    </w:r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semiHidden/>
    <w:unhideWhenUsed/>
    <w:qFormat/>
    <w:rsid w:val="00CA52FC"/>
    <w:pPr>
      <w:spacing w:after="200"/>
      <w:jc w:val="both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cs-CZ" w:bidi="ar-SA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Zhlav">
    <w:name w:val="header"/>
    <w:basedOn w:val="Zkladntext"/>
    <w:link w:val="ZhlavChar"/>
    <w:rsid w:val="00104C2E"/>
    <w:pPr>
      <w:tabs>
        <w:tab w:val="center" w:pos="4536"/>
        <w:tab w:val="right" w:pos="9072"/>
      </w:tabs>
      <w:jc w:val="center"/>
    </w:pPr>
    <w:rPr>
      <w:rFonts w:ascii="Calibri" w:hAnsi="Calibri"/>
      <w:sz w:val="20"/>
    </w:rPr>
  </w:style>
  <w:style w:type="paragraph" w:styleId="Zpat">
    <w:name w:val="footer"/>
    <w:basedOn w:val="Zkladntext"/>
    <w:link w:val="ZpatChar"/>
    <w:uiPriority w:val="99"/>
    <w:rsid w:val="00531E2A"/>
    <w:pPr>
      <w:tabs>
        <w:tab w:val="left" w:pos="1289"/>
        <w:tab w:val="left" w:pos="2984"/>
        <w:tab w:val="left" w:pos="4664"/>
        <w:tab w:val="left" w:pos="6374"/>
      </w:tabs>
    </w:pPr>
    <w:rPr>
      <w:rFonts w:ascii="Calibri" w:hAnsi="Calibri"/>
      <w:sz w:val="20"/>
    </w:rPr>
  </w:style>
  <w:style w:type="paragraph" w:styleId="Textbubliny">
    <w:name w:val="Balloon Text"/>
    <w:basedOn w:val="Normln"/>
    <w:semiHidden/>
    <w:qFormat/>
    <w:rsid w:val="00A21537"/>
    <w:pPr>
      <w:jc w:val="both"/>
    </w:pPr>
    <w:rPr>
      <w:rFonts w:ascii="Tahoma" w:eastAsia="Times New Roman" w:hAnsi="Tahoma" w:cs="Tahoma"/>
      <w:sz w:val="16"/>
      <w:szCs w:val="16"/>
      <w:lang w:eastAsia="cs-CZ" w:bidi="ar-SA"/>
    </w:rPr>
  </w:style>
  <w:style w:type="paragraph" w:styleId="Normlnodsazen">
    <w:name w:val="Normal Indent"/>
    <w:basedOn w:val="Normln"/>
    <w:qFormat/>
    <w:rsid w:val="003E0BCF"/>
    <w:pPr>
      <w:spacing w:before="60"/>
      <w:ind w:firstLine="709"/>
      <w:jc w:val="both"/>
    </w:pPr>
    <w:rPr>
      <w:rFonts w:ascii="Times New Roman" w:eastAsia="Times New Roman" w:hAnsi="Times New Roman"/>
      <w:szCs w:val="20"/>
      <w:lang w:eastAsia="cs-CZ" w:bidi="ar-SA"/>
    </w:rPr>
  </w:style>
  <w:style w:type="paragraph" w:styleId="Citt">
    <w:name w:val="Quote"/>
    <w:basedOn w:val="Zpat"/>
    <w:link w:val="CittChar"/>
    <w:uiPriority w:val="29"/>
    <w:qFormat/>
    <w:rsid w:val="0080507A"/>
    <w:pPr>
      <w:tabs>
        <w:tab w:val="left" w:pos="1205"/>
        <w:tab w:val="left" w:pos="3190"/>
        <w:tab w:val="left" w:pos="4607"/>
        <w:tab w:val="left" w:pos="6308"/>
      </w:tabs>
    </w:pPr>
  </w:style>
  <w:style w:type="paragraph" w:styleId="Textvbloku">
    <w:name w:val="Block Text"/>
    <w:basedOn w:val="Normln"/>
    <w:semiHidden/>
    <w:unhideWhenUsed/>
    <w:qFormat/>
    <w:rsid w:val="00CA52FC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  <w:jc w:val="both"/>
    </w:pPr>
    <w:rPr>
      <w:rFonts w:cstheme="minorBidi"/>
      <w:i/>
      <w:iCs/>
      <w:color w:val="4F81BD" w:themeColor="accent1"/>
      <w:szCs w:val="20"/>
      <w:lang w:eastAsia="cs-CZ" w:bidi="ar-SA"/>
    </w:rPr>
  </w:style>
  <w:style w:type="paragraph" w:customStyle="1" w:styleId="TxBrp8">
    <w:name w:val="TxBr_p8"/>
    <w:basedOn w:val="Normln"/>
    <w:qFormat/>
    <w:rsid w:val="00431FE6"/>
    <w:pPr>
      <w:widowControl w:val="0"/>
      <w:tabs>
        <w:tab w:val="left" w:pos="1014"/>
      </w:tabs>
      <w:spacing w:line="240" w:lineRule="atLeast"/>
      <w:ind w:left="352"/>
    </w:pPr>
    <w:rPr>
      <w:rFonts w:ascii="Times New Roman" w:eastAsia="Times New Roman" w:hAnsi="Times New Roman"/>
      <w:lang w:val="en-US" w:bidi="ar-SA"/>
    </w:rPr>
  </w:style>
  <w:style w:type="paragraph" w:styleId="Odstavecseseznamem">
    <w:name w:val="List Paragraph"/>
    <w:basedOn w:val="Normln"/>
    <w:uiPriority w:val="34"/>
    <w:qFormat/>
    <w:rsid w:val="00127349"/>
    <w:pPr>
      <w:ind w:left="720"/>
      <w:contextualSpacing/>
    </w:pPr>
  </w:style>
  <w:style w:type="paragraph" w:customStyle="1" w:styleId="xmsolistparagraph">
    <w:name w:val="x_msolistparagraph"/>
    <w:basedOn w:val="Normln"/>
    <w:qFormat/>
    <w:rsid w:val="004F2BA9"/>
    <w:pPr>
      <w:spacing w:beforeAutospacing="1" w:afterAutospacing="1"/>
    </w:pPr>
    <w:rPr>
      <w:rFonts w:ascii="Times New Roman" w:eastAsia="Times New Roman" w:hAnsi="Times New Roman"/>
      <w:lang w:eastAsia="cs-CZ" w:bidi="ar-SA"/>
    </w:rPr>
  </w:style>
  <w:style w:type="table" w:styleId="Mkatabulky">
    <w:name w:val="Table Grid"/>
    <w:basedOn w:val="Normlntabulka"/>
    <w:uiPriority w:val="39"/>
    <w:rsid w:val="00A2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Pr>
      <w:rFonts w:asciiTheme="minorHAnsi" w:eastAsiaTheme="minorEastAsia" w:hAnsiTheme="minorHAnsi"/>
      <w:lang w:eastAsia="en-US" w:bidi="en-US"/>
    </w:rPr>
  </w:style>
  <w:style w:type="character" w:styleId="Odkaznakoment">
    <w:name w:val="annotation reference"/>
    <w:basedOn w:val="Standardnpsmoodstavce"/>
    <w:semiHidden/>
    <w:unhideWhenUsed/>
    <w:rPr>
      <w:sz w:val="16"/>
      <w:szCs w:val="16"/>
    </w:rPr>
  </w:style>
  <w:style w:type="paragraph" w:styleId="Bezmezer">
    <w:name w:val="No Spacing"/>
    <w:link w:val="BezmezerChar"/>
    <w:uiPriority w:val="1"/>
    <w:qFormat/>
    <w:rsid w:val="006C3F86"/>
    <w:rPr>
      <w:sz w:val="24"/>
      <w:szCs w:val="24"/>
    </w:rPr>
  </w:style>
  <w:style w:type="paragraph" w:styleId="Normlnweb">
    <w:name w:val="Normal (Web)"/>
    <w:basedOn w:val="Normln"/>
    <w:rsid w:val="00C8125A"/>
    <w:pPr>
      <w:spacing w:before="100" w:beforeAutospacing="1" w:after="100" w:afterAutospacing="1"/>
    </w:pPr>
    <w:rPr>
      <w:rFonts w:ascii="Times New Roman" w:eastAsia="Times New Roman" w:hAnsi="Times New Roman"/>
      <w:lang w:eastAsia="cs-CZ" w:bidi="ar-S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C21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C2114"/>
    <w:rPr>
      <w:rFonts w:asciiTheme="minorHAnsi" w:eastAsiaTheme="minorEastAsia" w:hAnsiTheme="minorHAnsi"/>
      <w:b/>
      <w:bCs/>
      <w:lang w:eastAsia="en-US" w:bidi="en-US"/>
    </w:rPr>
  </w:style>
  <w:style w:type="paragraph" w:styleId="Revize">
    <w:name w:val="Revision"/>
    <w:hidden/>
    <w:uiPriority w:val="99"/>
    <w:semiHidden/>
    <w:rsid w:val="00DC2114"/>
    <w:rPr>
      <w:rFonts w:asciiTheme="minorHAnsi" w:eastAsiaTheme="minorEastAsia" w:hAnsiTheme="minorHAnsi"/>
      <w:sz w:val="24"/>
      <w:szCs w:val="24"/>
      <w:lang w:eastAsia="en-US" w:bidi="en-US"/>
    </w:rPr>
  </w:style>
  <w:style w:type="character" w:styleId="Hypertextovodkaz">
    <w:name w:val="Hyperlink"/>
    <w:uiPriority w:val="99"/>
    <w:unhideWhenUsed/>
    <w:rsid w:val="00770BEB"/>
    <w:rPr>
      <w:color w:val="0000FF"/>
      <w:u w:val="single"/>
    </w:rPr>
  </w:style>
  <w:style w:type="character" w:customStyle="1" w:styleId="BezmezerChar">
    <w:name w:val="Bez mezer Char"/>
    <w:link w:val="Bezmezer"/>
    <w:uiPriority w:val="1"/>
    <w:rsid w:val="001D6D0A"/>
    <w:rPr>
      <w:sz w:val="24"/>
      <w:szCs w:val="24"/>
    </w:rPr>
  </w:style>
  <w:style w:type="character" w:customStyle="1" w:styleId="nowrap">
    <w:name w:val="nowrap"/>
    <w:basedOn w:val="Standardnpsmoodstavce"/>
    <w:rsid w:val="0065235C"/>
  </w:style>
  <w:style w:type="character" w:customStyle="1" w:styleId="preformatted">
    <w:name w:val="preformatted"/>
    <w:basedOn w:val="Standardnpsmoodstavce"/>
    <w:rsid w:val="0065235C"/>
  </w:style>
  <w:style w:type="paragraph" w:customStyle="1" w:styleId="Stylnadpis1">
    <w:name w:val="Styl nadpis 1."/>
    <w:basedOn w:val="Normln"/>
    <w:next w:val="Normln"/>
    <w:qFormat/>
    <w:rsid w:val="0065235C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zCs w:val="22"/>
      <w:lang w:bidi="ar-SA"/>
    </w:rPr>
  </w:style>
  <w:style w:type="paragraph" w:customStyle="1" w:styleId="Styl11">
    <w:name w:val="Styl 1.1."/>
    <w:basedOn w:val="Normln"/>
    <w:link w:val="Styl11Char"/>
    <w:qFormat/>
    <w:rsid w:val="0065235C"/>
    <w:pPr>
      <w:numPr>
        <w:ilvl w:val="1"/>
        <w:numId w:val="21"/>
      </w:numPr>
      <w:spacing w:before="120" w:after="200" w:line="276" w:lineRule="auto"/>
      <w:jc w:val="both"/>
    </w:pPr>
    <w:rPr>
      <w:rFonts w:ascii="Times New Roman" w:eastAsia="Calibri" w:hAnsi="Times New Roman"/>
      <w:szCs w:val="22"/>
      <w:lang w:bidi="ar-SA"/>
    </w:rPr>
  </w:style>
  <w:style w:type="character" w:customStyle="1" w:styleId="Styl11Char">
    <w:name w:val="Styl 1.1. Char"/>
    <w:basedOn w:val="Standardnpsmoodstavce"/>
    <w:link w:val="Styl11"/>
    <w:locked/>
    <w:rsid w:val="0065235C"/>
    <w:rPr>
      <w:rFonts w:eastAsia="Calibri"/>
      <w:sz w:val="24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3C788D"/>
    <w:rPr>
      <w:iCs/>
      <w:sz w:val="24"/>
    </w:rPr>
  </w:style>
  <w:style w:type="character" w:customStyle="1" w:styleId="normaltextrun">
    <w:name w:val="normaltextrun"/>
    <w:basedOn w:val="Standardnpsmoodstavce"/>
    <w:rsid w:val="00B5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FA10-75B9-4997-9217-CC671307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771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Jaroslav Bednář</cp:lastModifiedBy>
  <cp:revision>10</cp:revision>
  <cp:lastPrinted>2021-07-19T07:03:00Z</cp:lastPrinted>
  <dcterms:created xsi:type="dcterms:W3CDTF">2024-05-10T13:18:00Z</dcterms:created>
  <dcterms:modified xsi:type="dcterms:W3CDTF">2025-05-23T10:43:00Z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